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F78" w:rsidRPr="00370932" w:rsidRDefault="00370932" w:rsidP="00370932">
      <w:pPr>
        <w:jc w:val="center"/>
        <w:rPr>
          <w:b/>
        </w:rPr>
      </w:pPr>
      <w:r>
        <w:rPr>
          <w:b/>
        </w:rPr>
        <w:t>Case Study: Slope Stabilization of Trunk Highway 2 in Crookston, Minnesota</w:t>
      </w:r>
    </w:p>
    <w:p w:rsidR="00D566C5" w:rsidRPr="00370932" w:rsidRDefault="00D566C5" w:rsidP="00370932">
      <w:pPr>
        <w:pStyle w:val="NoSpacing"/>
        <w:jc w:val="center"/>
        <w:rPr>
          <w:sz w:val="20"/>
        </w:rPr>
      </w:pPr>
      <w:proofErr w:type="spellStart"/>
      <w:r w:rsidRPr="00370932">
        <w:rPr>
          <w:sz w:val="20"/>
        </w:rPr>
        <w:t>CEEn</w:t>
      </w:r>
      <w:proofErr w:type="spellEnd"/>
      <w:r w:rsidRPr="00370932">
        <w:rPr>
          <w:sz w:val="20"/>
        </w:rPr>
        <w:t xml:space="preserve"> 544 – Seepage and Slope Stability</w:t>
      </w:r>
    </w:p>
    <w:p w:rsidR="003C008B" w:rsidRDefault="003C008B" w:rsidP="00370932">
      <w:pPr>
        <w:pStyle w:val="NoSpacing"/>
        <w:jc w:val="center"/>
        <w:rPr>
          <w:sz w:val="20"/>
        </w:rPr>
      </w:pPr>
      <w:r w:rsidRPr="00370932">
        <w:rPr>
          <w:sz w:val="20"/>
        </w:rPr>
        <w:t>Alex Arndt, Shawn Crawley, and Kristin Ulmer</w:t>
      </w:r>
    </w:p>
    <w:p w:rsidR="00ED4F25" w:rsidRPr="00370932" w:rsidRDefault="00ED4F25" w:rsidP="00370932">
      <w:pPr>
        <w:pStyle w:val="NoSpacing"/>
        <w:jc w:val="center"/>
        <w:rPr>
          <w:sz w:val="20"/>
        </w:rPr>
      </w:pPr>
    </w:p>
    <w:p w:rsidR="003C008B" w:rsidRPr="00A41DC0" w:rsidRDefault="003C008B">
      <w:pPr>
        <w:rPr>
          <w:b/>
          <w:sz w:val="24"/>
        </w:rPr>
      </w:pPr>
      <w:r w:rsidRPr="00A41DC0">
        <w:rPr>
          <w:b/>
          <w:sz w:val="24"/>
        </w:rPr>
        <w:t>Background</w:t>
      </w:r>
    </w:p>
    <w:p w:rsidR="003C008B" w:rsidRDefault="003C008B">
      <w:r>
        <w:t>A slope between Trunk Highway 2 (TH2) and the Red Lake River in Crookston, Minnesota has failed multiple times in recent</w:t>
      </w:r>
      <w:r w:rsidR="00495798">
        <w:t xml:space="preserve"> years</w:t>
      </w:r>
      <w:r w:rsidR="00370932">
        <w:t xml:space="preserve">.  </w:t>
      </w:r>
      <w:r>
        <w:t xml:space="preserve">The </w:t>
      </w:r>
      <w:r w:rsidR="00370932">
        <w:t>most recent slope failure (Sept 2003)</w:t>
      </w:r>
      <w:r>
        <w:t xml:space="preserve"> damaged several homes and businesses along TH2.  Now, the unstable slope threatens to damage TH2</w:t>
      </w:r>
      <w:r w:rsidR="005D0BFA">
        <w:t xml:space="preserve"> itself</w:t>
      </w:r>
      <w:r>
        <w:t xml:space="preserve">, which is a significant arterial road in northern Minnesota.  The City of Crookston </w:t>
      </w:r>
      <w:r w:rsidR="009C29BD">
        <w:t>requested</w:t>
      </w:r>
      <w:r>
        <w:t xml:space="preserve"> a slope stabilization design which would protect TH2 and other businesses along the river.</w:t>
      </w:r>
    </w:p>
    <w:p w:rsidR="003C008B" w:rsidRPr="00A41DC0" w:rsidRDefault="003C008B">
      <w:pPr>
        <w:rPr>
          <w:b/>
          <w:sz w:val="24"/>
        </w:rPr>
      </w:pPr>
      <w:r w:rsidRPr="00A41DC0">
        <w:rPr>
          <w:b/>
          <w:sz w:val="24"/>
        </w:rPr>
        <w:t>Analysis</w:t>
      </w:r>
    </w:p>
    <w:p w:rsidR="000C1F2A" w:rsidRDefault="000C1F2A">
      <w:r>
        <w:t>Initial slope stability analyses were performed</w:t>
      </w:r>
      <w:r w:rsidR="00714766">
        <w:t xml:space="preserve"> using UTEXAS</w:t>
      </w:r>
      <w:r>
        <w:t xml:space="preserve"> to identify the current factor of safety of the slope.  Three cross-sections were considered (A, B, and C).  The clay was approximately </w:t>
      </w:r>
      <w:r w:rsidR="00654EF1">
        <w:t xml:space="preserve">60 to </w:t>
      </w:r>
      <w:r w:rsidR="006233D8">
        <w:t>80</w:t>
      </w:r>
      <w:r>
        <w:t xml:space="preserve"> </w:t>
      </w:r>
      <w:proofErr w:type="spellStart"/>
      <w:r w:rsidR="005D0BFA">
        <w:t>ft</w:t>
      </w:r>
      <w:proofErr w:type="spellEnd"/>
      <w:r>
        <w:t xml:space="preserve"> thick with very low shear strengths.  The sponsor of this project developed their own slope stability analyses </w:t>
      </w:r>
      <w:r w:rsidR="00791FBE">
        <w:t xml:space="preserve">in 2006 </w:t>
      </w:r>
      <w:r>
        <w:t xml:space="preserve">using c = 0 </w:t>
      </w:r>
      <w:r w:rsidR="002A0FE1">
        <w:t>and φ</w:t>
      </w:r>
      <w:r w:rsidR="00791FBE">
        <w:t xml:space="preserve"> = 16</w:t>
      </w:r>
      <w:r w:rsidR="00791FBE" w:rsidRPr="005D0BFA">
        <w:t>°</w:t>
      </w:r>
      <w:r w:rsidR="00791FBE">
        <w:t xml:space="preserve"> for residual strengths. We made a slight change to this data and used </w:t>
      </w:r>
      <w:r w:rsidR="00791FBE">
        <w:t>φ</w:t>
      </w:r>
      <w:r w:rsidR="00791FBE">
        <w:t xml:space="preserve"> = 15</w:t>
      </w:r>
      <w:r w:rsidR="00791FBE" w:rsidRPr="005D0BFA">
        <w:t>°</w:t>
      </w:r>
      <w:r w:rsidR="00791FBE">
        <w:t>.</w:t>
      </w:r>
      <w:r>
        <w:t xml:space="preserve">  The </w:t>
      </w:r>
      <w:proofErr w:type="spellStart"/>
      <w:r>
        <w:t>piezometr</w:t>
      </w:r>
      <w:r w:rsidR="00960EDF">
        <w:t>ic</w:t>
      </w:r>
      <w:proofErr w:type="spellEnd"/>
      <w:r w:rsidR="00960EDF">
        <w:t xml:space="preserve"> line was estimated based on </w:t>
      </w:r>
      <w:r w:rsidR="00C43B27">
        <w:t xml:space="preserve">a linear interpolation </w:t>
      </w:r>
      <w:r w:rsidR="00483EED">
        <w:t>between</w:t>
      </w:r>
      <w:r w:rsidR="00C43B27">
        <w:t xml:space="preserve"> given elevations of the nearby river</w:t>
      </w:r>
      <w:r w:rsidR="00483EED">
        <w:t xml:space="preserve"> and elevations of significant pore pressures measured by soil testing (CPT)</w:t>
      </w:r>
      <w:r>
        <w:t xml:space="preserve">.  The failure surface was defined based on where the geologists identified the failure </w:t>
      </w:r>
      <w:r w:rsidR="00714766">
        <w:t xml:space="preserve">surface from the 2003 failure.  Factors of safety </w:t>
      </w:r>
      <w:r w:rsidR="005D0BFA">
        <w:t xml:space="preserve">obtained from the UTEXAS analyses </w:t>
      </w:r>
      <w:r w:rsidR="00714766">
        <w:t xml:space="preserve">are summarized in Table </w:t>
      </w:r>
      <w:r w:rsidR="004A0BC3">
        <w:t>1</w:t>
      </w:r>
      <w:r w:rsidR="00714766">
        <w:t>.</w:t>
      </w:r>
    </w:p>
    <w:p w:rsidR="00791FBE" w:rsidRDefault="004D0FF4">
      <w:r>
        <w:t xml:space="preserve"> </w:t>
      </w:r>
      <w:r w:rsidR="00714766">
        <w:t xml:space="preserve">The team decided to pursue a drilled shaft reinforcement option for stabilizing the slope.  L-Pile provided the amount of resistance available in the shaft based on assumed </w:t>
      </w:r>
      <w:r w:rsidR="005D0BFA">
        <w:t xml:space="preserve">soil </w:t>
      </w:r>
      <w:r w:rsidR="00714766">
        <w:t xml:space="preserve">displacement values.  </w:t>
      </w:r>
      <w:r w:rsidR="005D0BFA">
        <w:t>These</w:t>
      </w:r>
      <w:r w:rsidR="00714766">
        <w:t xml:space="preserve"> values were estimated based on inclinometer data provided by the </w:t>
      </w:r>
      <w:r w:rsidR="005D0BFA">
        <w:t>sponsor.  The</w:t>
      </w:r>
      <w:r w:rsidR="00714766">
        <w:t xml:space="preserve"> resistance values were </w:t>
      </w:r>
      <w:r w:rsidR="005D0BFA">
        <w:t xml:space="preserve">then </w:t>
      </w:r>
      <w:r w:rsidR="00714766">
        <w:t xml:space="preserve">used as inputs in UTEXAS for post-reinforcement slope stability analyses.  The clay material properties remained the same as in the pre-reinforcement slope stability analyses.  Post-reinforcement factor of safety values are summarized in Table </w:t>
      </w:r>
      <w:r w:rsidR="00ED4F25">
        <w:t>1</w:t>
      </w:r>
      <w:r w:rsidR="00714766">
        <w:t>.</w:t>
      </w:r>
    </w:p>
    <w:p w:rsidR="00791FBE" w:rsidRPr="000C1F2A" w:rsidRDefault="00791FBE">
      <w:proofErr w:type="gramStart"/>
      <w:r>
        <w:rPr>
          <w:b/>
        </w:rPr>
        <w:t>Table 1.</w:t>
      </w:r>
      <w:proofErr w:type="gramEnd"/>
      <w:r>
        <w:rPr>
          <w:b/>
        </w:rPr>
        <w:t xml:space="preserve"> Factor of Safety Values for Pre- and Post-Reinforcement</w:t>
      </w:r>
    </w:p>
    <w:tbl>
      <w:tblPr>
        <w:tblStyle w:val="TableGrid"/>
        <w:tblpPr w:leftFromText="180" w:rightFromText="180" w:vertAnchor="text" w:horzAnchor="margin" w:tblpY="3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4"/>
        <w:gridCol w:w="2344"/>
        <w:gridCol w:w="2345"/>
        <w:gridCol w:w="2345"/>
      </w:tblGrid>
      <w:tr w:rsidR="00791FBE" w:rsidTr="00791FBE">
        <w:trPr>
          <w:trHeight w:val="262"/>
        </w:trPr>
        <w:tc>
          <w:tcPr>
            <w:tcW w:w="234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1FBE" w:rsidRDefault="00791FBE" w:rsidP="00791FBE">
            <w:pPr>
              <w:jc w:val="center"/>
            </w:pPr>
          </w:p>
        </w:tc>
        <w:tc>
          <w:tcPr>
            <w:tcW w:w="234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1FBE" w:rsidRDefault="00791FBE" w:rsidP="00791FBE">
            <w:pPr>
              <w:jc w:val="center"/>
            </w:pPr>
            <w:r>
              <w:t>A</w:t>
            </w:r>
          </w:p>
        </w:tc>
        <w:tc>
          <w:tcPr>
            <w:tcW w:w="234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1FBE" w:rsidRDefault="00791FBE" w:rsidP="00791FBE">
            <w:pPr>
              <w:jc w:val="center"/>
            </w:pPr>
            <w:r>
              <w:t>B</w:t>
            </w:r>
          </w:p>
        </w:tc>
        <w:tc>
          <w:tcPr>
            <w:tcW w:w="234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1FBE" w:rsidRDefault="00791FBE" w:rsidP="00791FBE">
            <w:pPr>
              <w:jc w:val="center"/>
            </w:pPr>
            <w:r>
              <w:t>C</w:t>
            </w:r>
          </w:p>
        </w:tc>
      </w:tr>
      <w:tr w:rsidR="00791FBE" w:rsidTr="00791FBE">
        <w:trPr>
          <w:trHeight w:val="247"/>
        </w:trPr>
        <w:tc>
          <w:tcPr>
            <w:tcW w:w="234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791FBE" w:rsidRDefault="00BE0061" w:rsidP="00791FBE">
            <w:pPr>
              <w:jc w:val="center"/>
            </w:pPr>
            <w:r>
              <w:t>Current Condition</w:t>
            </w:r>
          </w:p>
        </w:tc>
        <w:tc>
          <w:tcPr>
            <w:tcW w:w="234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791FBE" w:rsidRPr="00C02B17" w:rsidRDefault="00BE0061" w:rsidP="00791FBE">
            <w:pPr>
              <w:jc w:val="center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1.11</w:t>
            </w:r>
          </w:p>
        </w:tc>
        <w:tc>
          <w:tcPr>
            <w:tcW w:w="234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791FBE" w:rsidRPr="00C02B17" w:rsidRDefault="00BE0061" w:rsidP="00791FBE">
            <w:pPr>
              <w:jc w:val="center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1.18</w:t>
            </w:r>
          </w:p>
        </w:tc>
        <w:tc>
          <w:tcPr>
            <w:tcW w:w="234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791FBE" w:rsidRPr="00C02B17" w:rsidRDefault="00BE0061" w:rsidP="00791FBE">
            <w:pPr>
              <w:jc w:val="center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1.23</w:t>
            </w:r>
          </w:p>
        </w:tc>
      </w:tr>
      <w:tr w:rsidR="00791FBE" w:rsidTr="00791FBE">
        <w:trPr>
          <w:trHeight w:val="262"/>
        </w:trPr>
        <w:tc>
          <w:tcPr>
            <w:tcW w:w="2344" w:type="dxa"/>
            <w:shd w:val="clear" w:color="auto" w:fill="auto"/>
            <w:vAlign w:val="center"/>
          </w:tcPr>
          <w:p w:rsidR="00791FBE" w:rsidRDefault="00BE0061" w:rsidP="00791FBE">
            <w:pPr>
              <w:jc w:val="center"/>
            </w:pPr>
            <w:r>
              <w:t>Extreme Condition</w:t>
            </w:r>
          </w:p>
        </w:tc>
        <w:tc>
          <w:tcPr>
            <w:tcW w:w="2344" w:type="dxa"/>
            <w:shd w:val="clear" w:color="auto" w:fill="auto"/>
            <w:vAlign w:val="center"/>
          </w:tcPr>
          <w:p w:rsidR="00791FBE" w:rsidRPr="00C02B17" w:rsidRDefault="00BE0061" w:rsidP="00791FBE">
            <w:pPr>
              <w:jc w:val="center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1.06</w:t>
            </w:r>
          </w:p>
        </w:tc>
        <w:tc>
          <w:tcPr>
            <w:tcW w:w="2345" w:type="dxa"/>
            <w:shd w:val="clear" w:color="auto" w:fill="auto"/>
            <w:vAlign w:val="center"/>
          </w:tcPr>
          <w:p w:rsidR="00791FBE" w:rsidRPr="00C02B17" w:rsidRDefault="00BE0061" w:rsidP="00791FBE">
            <w:pPr>
              <w:jc w:val="center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1.05</w:t>
            </w:r>
          </w:p>
        </w:tc>
        <w:tc>
          <w:tcPr>
            <w:tcW w:w="2345" w:type="dxa"/>
            <w:shd w:val="clear" w:color="auto" w:fill="auto"/>
            <w:vAlign w:val="center"/>
          </w:tcPr>
          <w:p w:rsidR="00791FBE" w:rsidRPr="00C02B17" w:rsidRDefault="00BE0061" w:rsidP="00791FBE">
            <w:pPr>
              <w:jc w:val="center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1.16</w:t>
            </w:r>
          </w:p>
        </w:tc>
      </w:tr>
      <w:tr w:rsidR="00791FBE" w:rsidTr="00791FBE">
        <w:trPr>
          <w:trHeight w:val="262"/>
        </w:trPr>
        <w:tc>
          <w:tcPr>
            <w:tcW w:w="23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91FBE" w:rsidRDefault="00BE0061" w:rsidP="00791FBE">
            <w:pPr>
              <w:jc w:val="center"/>
            </w:pPr>
            <w:r>
              <w:t>Reinforced Condition</w:t>
            </w:r>
          </w:p>
        </w:tc>
        <w:tc>
          <w:tcPr>
            <w:tcW w:w="23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91FBE" w:rsidRPr="00C02B17" w:rsidRDefault="00BE0061" w:rsidP="00791FBE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1.47</w:t>
            </w:r>
          </w:p>
        </w:tc>
        <w:tc>
          <w:tcPr>
            <w:tcW w:w="23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91FBE" w:rsidRPr="00C02B17" w:rsidRDefault="00BE0061" w:rsidP="00791FBE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1.33</w:t>
            </w:r>
          </w:p>
        </w:tc>
        <w:tc>
          <w:tcPr>
            <w:tcW w:w="23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91FBE" w:rsidRPr="00C02B17" w:rsidRDefault="00BE0061" w:rsidP="00791FBE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1.47</w:t>
            </w:r>
          </w:p>
        </w:tc>
      </w:tr>
      <w:tr w:rsidR="00791FBE" w:rsidTr="00791FBE">
        <w:trPr>
          <w:trHeight w:val="79"/>
        </w:trPr>
        <w:tc>
          <w:tcPr>
            <w:tcW w:w="2344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791FBE" w:rsidRDefault="00791FBE" w:rsidP="00791FBE">
            <w:pPr>
              <w:jc w:val="center"/>
            </w:pPr>
          </w:p>
        </w:tc>
        <w:tc>
          <w:tcPr>
            <w:tcW w:w="2344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791FBE" w:rsidRPr="00C02B17" w:rsidRDefault="00791FBE" w:rsidP="00791FBE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345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791FBE" w:rsidRPr="00C02B17" w:rsidRDefault="00791FBE" w:rsidP="00791FBE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345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791FBE" w:rsidRPr="00C02B17" w:rsidRDefault="00791FBE" w:rsidP="00791FBE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</w:tr>
    </w:tbl>
    <w:p w:rsidR="00791FBE" w:rsidRDefault="00791FBE">
      <w:pPr>
        <w:rPr>
          <w:b/>
        </w:rPr>
      </w:pPr>
    </w:p>
    <w:p w:rsidR="003C008B" w:rsidRPr="00A41DC0" w:rsidRDefault="00D566C5">
      <w:pPr>
        <w:rPr>
          <w:b/>
          <w:sz w:val="24"/>
        </w:rPr>
      </w:pPr>
      <w:r w:rsidRPr="00A41DC0">
        <w:rPr>
          <w:b/>
          <w:sz w:val="24"/>
        </w:rPr>
        <w:t>Conclusion</w:t>
      </w:r>
    </w:p>
    <w:p w:rsidR="00ED4F25" w:rsidRPr="00714766" w:rsidRDefault="00714766">
      <w:r>
        <w:t>Based on the analyses performed using UTEXAS and L-Pile, the drilled shaft approach is sufficient f</w:t>
      </w:r>
      <w:r w:rsidR="002A0FE1">
        <w:t xml:space="preserve">or achieving the desired FS = </w:t>
      </w:r>
      <w:r w:rsidR="006233D8">
        <w:t>1.3</w:t>
      </w:r>
      <w:r>
        <w:t xml:space="preserve">.  </w:t>
      </w:r>
      <w:r w:rsidR="00BE0061">
        <w:t xml:space="preserve">The final governing factor of safety was 1.33. This factor of safety corresponds to the extreme condition with a 3 ft. diameter </w:t>
      </w:r>
      <w:r w:rsidR="004D0FF4">
        <w:t xml:space="preserve">shaft </w:t>
      </w:r>
      <w:r w:rsidR="00BE0061">
        <w:t>penetrating</w:t>
      </w:r>
      <w:r w:rsidR="004D0FF4">
        <w:t xml:space="preserve"> 75 ft. into the</w:t>
      </w:r>
      <w:r w:rsidR="00BE0061">
        <w:t xml:space="preserve"> ground from the slope surface.</w:t>
      </w:r>
    </w:p>
    <w:p w:rsidR="005D0BFA" w:rsidRDefault="005D0BFA">
      <w:pPr>
        <w:rPr>
          <w:b/>
        </w:rPr>
      </w:pPr>
      <w:r>
        <w:rPr>
          <w:b/>
        </w:rPr>
        <w:br w:type="page"/>
      </w:r>
    </w:p>
    <w:p w:rsidR="00AF1C9F" w:rsidRPr="00A41DC0" w:rsidRDefault="00AF1C9F" w:rsidP="00AF1C9F">
      <w:pPr>
        <w:rPr>
          <w:b/>
          <w:sz w:val="24"/>
        </w:rPr>
      </w:pPr>
      <w:r w:rsidRPr="00A41DC0">
        <w:rPr>
          <w:b/>
          <w:sz w:val="24"/>
        </w:rPr>
        <w:lastRenderedPageBreak/>
        <w:t>References</w:t>
      </w:r>
      <w:bookmarkStart w:id="0" w:name="_GoBack"/>
      <w:bookmarkEnd w:id="0"/>
    </w:p>
    <w:p w:rsidR="00AF1C9F" w:rsidRPr="00ED4F25" w:rsidRDefault="00AF1C9F" w:rsidP="0076715E">
      <w:pPr>
        <w:ind w:left="540" w:hanging="540"/>
        <w:rPr>
          <w:sz w:val="18"/>
        </w:rPr>
      </w:pPr>
      <w:r w:rsidRPr="00ED4F25">
        <w:rPr>
          <w:sz w:val="18"/>
        </w:rPr>
        <w:t xml:space="preserve">Arndt, B. Michael </w:t>
      </w:r>
      <w:r w:rsidR="00370932" w:rsidRPr="00ED4F25">
        <w:rPr>
          <w:sz w:val="18"/>
        </w:rPr>
        <w:t>(</w:t>
      </w:r>
      <w:r w:rsidRPr="00ED4F25">
        <w:rPr>
          <w:sz w:val="18"/>
        </w:rPr>
        <w:t>1977</w:t>
      </w:r>
      <w:r w:rsidR="00370932" w:rsidRPr="00ED4F25">
        <w:rPr>
          <w:sz w:val="18"/>
        </w:rPr>
        <w:t>)</w:t>
      </w:r>
      <w:r w:rsidRPr="00ED4F25">
        <w:rPr>
          <w:sz w:val="18"/>
        </w:rPr>
        <w:t>. St</w:t>
      </w:r>
      <w:r w:rsidR="00370932" w:rsidRPr="00ED4F25">
        <w:rPr>
          <w:sz w:val="18"/>
        </w:rPr>
        <w:t>ratigraphy of offshore sediment,</w:t>
      </w:r>
      <w:r w:rsidRPr="00ED4F25">
        <w:rPr>
          <w:sz w:val="18"/>
        </w:rPr>
        <w:t xml:space="preserve"> </w:t>
      </w:r>
      <w:r w:rsidR="00370932" w:rsidRPr="00ED4F25">
        <w:rPr>
          <w:sz w:val="18"/>
        </w:rPr>
        <w:t xml:space="preserve">Lake Agassiz-North </w:t>
      </w:r>
      <w:r w:rsidRPr="00ED4F25">
        <w:rPr>
          <w:sz w:val="18"/>
        </w:rPr>
        <w:t>Dakota: North Dakota Geological Survey, Report of Investigation No. 60, 58 p.</w:t>
      </w:r>
    </w:p>
    <w:p w:rsidR="00370932" w:rsidRPr="00ED4F25" w:rsidRDefault="00370932" w:rsidP="0076715E">
      <w:pPr>
        <w:ind w:left="540" w:hanging="540"/>
        <w:rPr>
          <w:sz w:val="18"/>
        </w:rPr>
      </w:pPr>
      <w:proofErr w:type="gramStart"/>
      <w:r w:rsidRPr="00ED4F25">
        <w:rPr>
          <w:sz w:val="18"/>
        </w:rPr>
        <w:t>“Landslide Problem Returns to Crookston”, http://www.valleynewslive.com/story/25555128/landslide-problem-returns-to-crookston (May 19, 2014), accessed October 2014.</w:t>
      </w:r>
      <w:proofErr w:type="gramEnd"/>
    </w:p>
    <w:p w:rsidR="00370932" w:rsidRPr="00ED4F25" w:rsidRDefault="00370932" w:rsidP="0076715E">
      <w:pPr>
        <w:ind w:left="540" w:hanging="540"/>
        <w:rPr>
          <w:sz w:val="18"/>
        </w:rPr>
      </w:pPr>
      <w:proofErr w:type="gramStart"/>
      <w:r w:rsidRPr="00ED4F25">
        <w:rPr>
          <w:sz w:val="18"/>
        </w:rPr>
        <w:t xml:space="preserve">Saeed </w:t>
      </w:r>
      <w:proofErr w:type="spellStart"/>
      <w:r w:rsidRPr="00ED4F25">
        <w:rPr>
          <w:sz w:val="18"/>
        </w:rPr>
        <w:t>Hossein</w:t>
      </w:r>
      <w:r w:rsidR="007020B8" w:rsidRPr="00ED4F25">
        <w:rPr>
          <w:sz w:val="18"/>
        </w:rPr>
        <w:t>ian</w:t>
      </w:r>
      <w:proofErr w:type="spellEnd"/>
      <w:r w:rsidR="007020B8" w:rsidRPr="00ED4F25">
        <w:rPr>
          <w:sz w:val="18"/>
        </w:rPr>
        <w:t xml:space="preserve">*, </w:t>
      </w:r>
      <w:proofErr w:type="spellStart"/>
      <w:r w:rsidR="007020B8" w:rsidRPr="00ED4F25">
        <w:rPr>
          <w:sz w:val="18"/>
        </w:rPr>
        <w:t>Masoud</w:t>
      </w:r>
      <w:proofErr w:type="spellEnd"/>
      <w:r w:rsidR="007020B8" w:rsidRPr="00ED4F25">
        <w:rPr>
          <w:sz w:val="18"/>
        </w:rPr>
        <w:t xml:space="preserve"> </w:t>
      </w:r>
      <w:proofErr w:type="spellStart"/>
      <w:r w:rsidR="007020B8" w:rsidRPr="00ED4F25">
        <w:rPr>
          <w:sz w:val="18"/>
        </w:rPr>
        <w:t>Cheraghi</w:t>
      </w:r>
      <w:proofErr w:type="spellEnd"/>
      <w:r w:rsidR="007020B8" w:rsidRPr="00ED4F25">
        <w:rPr>
          <w:sz w:val="18"/>
        </w:rPr>
        <w:t xml:space="preserve"> </w:t>
      </w:r>
      <w:proofErr w:type="spellStart"/>
      <w:r w:rsidR="007020B8" w:rsidRPr="00ED4F25">
        <w:rPr>
          <w:sz w:val="18"/>
        </w:rPr>
        <w:t>Seifabad</w:t>
      </w:r>
      <w:proofErr w:type="spellEnd"/>
      <w:r w:rsidR="007020B8" w:rsidRPr="00ED4F25">
        <w:rPr>
          <w:sz w:val="18"/>
        </w:rPr>
        <w:t xml:space="preserve"> (2013)</w:t>
      </w:r>
      <w:r w:rsidR="00A8068C" w:rsidRPr="00ED4F25">
        <w:rPr>
          <w:sz w:val="18"/>
        </w:rPr>
        <w:t>.</w:t>
      </w:r>
      <w:proofErr w:type="gramEnd"/>
      <w:r w:rsidR="007020B8" w:rsidRPr="00ED4F25">
        <w:rPr>
          <w:sz w:val="18"/>
        </w:rPr>
        <w:t xml:space="preserve"> </w:t>
      </w:r>
      <w:proofErr w:type="gramStart"/>
      <w:r w:rsidR="007020B8" w:rsidRPr="00ED4F25">
        <w:rPr>
          <w:sz w:val="18"/>
        </w:rPr>
        <w:t>“</w:t>
      </w:r>
      <w:r w:rsidR="007020B8" w:rsidRPr="00ED4F25">
        <w:rPr>
          <w:color w:val="000000"/>
          <w:sz w:val="18"/>
        </w:rPr>
        <w:t>Optimization the Distance between Piles in Supporting Structure Using Soil Arching Effect,”</w:t>
      </w:r>
      <w:r w:rsidR="007020B8" w:rsidRPr="00ED4F25">
        <w:rPr>
          <w:sz w:val="18"/>
        </w:rPr>
        <w:t xml:space="preserve"> </w:t>
      </w:r>
      <w:r w:rsidRPr="00ED4F25">
        <w:rPr>
          <w:sz w:val="18"/>
        </w:rPr>
        <w:t>Journal of Civil Engineering and Urbanism V</w:t>
      </w:r>
      <w:r w:rsidR="007020B8" w:rsidRPr="00ED4F25">
        <w:rPr>
          <w:sz w:val="18"/>
        </w:rPr>
        <w:t>olume 3, Issue 6: 386-391.</w:t>
      </w:r>
      <w:proofErr w:type="gramEnd"/>
    </w:p>
    <w:sectPr w:rsidR="00370932" w:rsidRPr="00ED4F25" w:rsidSect="00D87082">
      <w:pgSz w:w="12240" w:h="15840"/>
      <w:pgMar w:top="1440" w:right="1260" w:bottom="144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22606"/>
    <w:multiLevelType w:val="hybridMultilevel"/>
    <w:tmpl w:val="0A7C735C"/>
    <w:lvl w:ilvl="0" w:tplc="75CC908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08B"/>
    <w:rsid w:val="000674BB"/>
    <w:rsid w:val="000920BD"/>
    <w:rsid w:val="000B634C"/>
    <w:rsid w:val="000C1F2A"/>
    <w:rsid w:val="00151C7E"/>
    <w:rsid w:val="001C3EC7"/>
    <w:rsid w:val="002356AE"/>
    <w:rsid w:val="002927BD"/>
    <w:rsid w:val="002A0FE1"/>
    <w:rsid w:val="002E39FA"/>
    <w:rsid w:val="00346DCE"/>
    <w:rsid w:val="00370932"/>
    <w:rsid w:val="003C008B"/>
    <w:rsid w:val="003D61AB"/>
    <w:rsid w:val="003F4063"/>
    <w:rsid w:val="00402D6E"/>
    <w:rsid w:val="004074C0"/>
    <w:rsid w:val="00465468"/>
    <w:rsid w:val="00483EED"/>
    <w:rsid w:val="00495798"/>
    <w:rsid w:val="004A0BC3"/>
    <w:rsid w:val="004D0FF4"/>
    <w:rsid w:val="004E2424"/>
    <w:rsid w:val="004F6AB4"/>
    <w:rsid w:val="005666A2"/>
    <w:rsid w:val="005D0BFA"/>
    <w:rsid w:val="006045F3"/>
    <w:rsid w:val="006233D8"/>
    <w:rsid w:val="00654EF1"/>
    <w:rsid w:val="007020B8"/>
    <w:rsid w:val="00714766"/>
    <w:rsid w:val="0076715E"/>
    <w:rsid w:val="00791FBE"/>
    <w:rsid w:val="007B62EB"/>
    <w:rsid w:val="007C09B3"/>
    <w:rsid w:val="00815595"/>
    <w:rsid w:val="00826855"/>
    <w:rsid w:val="008E3D1A"/>
    <w:rsid w:val="008F13A0"/>
    <w:rsid w:val="0091744E"/>
    <w:rsid w:val="009226C8"/>
    <w:rsid w:val="00945647"/>
    <w:rsid w:val="00960EDF"/>
    <w:rsid w:val="00984CDF"/>
    <w:rsid w:val="009C29BD"/>
    <w:rsid w:val="009F0C13"/>
    <w:rsid w:val="00A41DC0"/>
    <w:rsid w:val="00A8068C"/>
    <w:rsid w:val="00AD097B"/>
    <w:rsid w:val="00AF1C9F"/>
    <w:rsid w:val="00BA741F"/>
    <w:rsid w:val="00BE0061"/>
    <w:rsid w:val="00BE2BFB"/>
    <w:rsid w:val="00BE6403"/>
    <w:rsid w:val="00C02B17"/>
    <w:rsid w:val="00C43B27"/>
    <w:rsid w:val="00CE42A4"/>
    <w:rsid w:val="00CE4DE2"/>
    <w:rsid w:val="00CF5497"/>
    <w:rsid w:val="00D566C5"/>
    <w:rsid w:val="00D87082"/>
    <w:rsid w:val="00D91170"/>
    <w:rsid w:val="00E94939"/>
    <w:rsid w:val="00E9510D"/>
    <w:rsid w:val="00ED4F25"/>
    <w:rsid w:val="00F96331"/>
    <w:rsid w:val="00FA3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66C5"/>
    <w:pPr>
      <w:ind w:left="720"/>
      <w:contextualSpacing/>
    </w:pPr>
  </w:style>
  <w:style w:type="paragraph" w:styleId="NoSpacing">
    <w:name w:val="No Spacing"/>
    <w:uiPriority w:val="1"/>
    <w:qFormat/>
    <w:rsid w:val="00370932"/>
    <w:pPr>
      <w:spacing w:after="0" w:line="240" w:lineRule="auto"/>
    </w:pPr>
  </w:style>
  <w:style w:type="table" w:styleId="TableGrid">
    <w:name w:val="Table Grid"/>
    <w:basedOn w:val="TableNormal"/>
    <w:uiPriority w:val="39"/>
    <w:rsid w:val="00ED4F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ED4F25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66C5"/>
    <w:pPr>
      <w:ind w:left="720"/>
      <w:contextualSpacing/>
    </w:pPr>
  </w:style>
  <w:style w:type="paragraph" w:styleId="NoSpacing">
    <w:name w:val="No Spacing"/>
    <w:uiPriority w:val="1"/>
    <w:qFormat/>
    <w:rsid w:val="00370932"/>
    <w:pPr>
      <w:spacing w:after="0" w:line="240" w:lineRule="auto"/>
    </w:pPr>
  </w:style>
  <w:style w:type="table" w:styleId="TableGrid">
    <w:name w:val="Table Grid"/>
    <w:basedOn w:val="TableNormal"/>
    <w:uiPriority w:val="39"/>
    <w:rsid w:val="00ED4F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ED4F25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 Ulmer</dc:creator>
  <cp:lastModifiedBy>Shawn</cp:lastModifiedBy>
  <cp:revision>2</cp:revision>
  <dcterms:created xsi:type="dcterms:W3CDTF">2015-04-09T03:36:00Z</dcterms:created>
  <dcterms:modified xsi:type="dcterms:W3CDTF">2015-04-09T03:56:00Z</dcterms:modified>
</cp:coreProperties>
</file>